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991B63" w:rsidRDefault="00C95BDE" w:rsidP="005767CE">
      <w:pPr>
        <w:pStyle w:val="a5"/>
        <w:spacing w:line="242" w:lineRule="auto"/>
        <w:rPr>
          <w:sz w:val="32"/>
          <w:szCs w:val="32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</w:t>
      </w:r>
      <w:r w:rsidR="00415199">
        <w:rPr>
          <w:sz w:val="36"/>
          <w:szCs w:val="36"/>
        </w:rPr>
        <w:t>ДВ.</w:t>
      </w:r>
      <w:r w:rsidR="00991B63">
        <w:rPr>
          <w:sz w:val="36"/>
          <w:szCs w:val="36"/>
        </w:rPr>
        <w:t>04.01</w:t>
      </w:r>
      <w:r w:rsidRPr="00C95BDE">
        <w:rPr>
          <w:sz w:val="36"/>
          <w:szCs w:val="36"/>
        </w:rPr>
        <w:t xml:space="preserve">   </w:t>
      </w:r>
      <w:r w:rsidR="00991B63" w:rsidRPr="00991B63">
        <w:rPr>
          <w:sz w:val="32"/>
          <w:szCs w:val="32"/>
        </w:rPr>
        <w:t xml:space="preserve">Правовые и экономические основы </w:t>
      </w:r>
    </w:p>
    <w:p w:rsidR="007C4939" w:rsidRPr="00C95BDE" w:rsidRDefault="00991B63" w:rsidP="005767CE">
      <w:pPr>
        <w:pStyle w:val="a5"/>
        <w:spacing w:line="242" w:lineRule="auto"/>
        <w:rPr>
          <w:sz w:val="36"/>
          <w:szCs w:val="36"/>
        </w:rPr>
      </w:pPr>
      <w:r w:rsidRPr="00991B63">
        <w:rPr>
          <w:sz w:val="32"/>
          <w:szCs w:val="32"/>
        </w:rPr>
        <w:t>деятельности канонических подразделений Русской Прав</w:t>
      </w:r>
      <w:r w:rsidRPr="00991B63">
        <w:rPr>
          <w:sz w:val="32"/>
          <w:szCs w:val="32"/>
        </w:rPr>
        <w:t>о</w:t>
      </w:r>
      <w:r w:rsidRPr="00991B63">
        <w:rPr>
          <w:sz w:val="32"/>
          <w:szCs w:val="32"/>
        </w:rPr>
        <w:t>славной Церкви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3B3BEC" w:rsidRPr="008C6F7B" w:rsidRDefault="003B3BEC" w:rsidP="003B3BEC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3B3BEC" w:rsidP="003B3BEC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3B3BEC" w:rsidRPr="00950950" w:rsidRDefault="003B3BEC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3B3BEC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3B3BEC" w:rsidRPr="00950950" w:rsidRDefault="003B3BEC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3B3BEC" w:rsidRPr="00950950" w:rsidRDefault="003B3BEC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3B3BEC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3B3BEC" w:rsidRPr="00950950" w:rsidRDefault="003B3BEC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3B3BEC" w:rsidRPr="00950950" w:rsidRDefault="003B3BEC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3B3BEC" w:rsidRPr="00950950" w:rsidTr="00F05BFA">
        <w:trPr>
          <w:trHeight w:val="276"/>
        </w:trPr>
        <w:tc>
          <w:tcPr>
            <w:tcW w:w="2564" w:type="pct"/>
          </w:tcPr>
          <w:p w:rsidR="003B3BEC" w:rsidRPr="00950950" w:rsidRDefault="003B3BEC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3B3BEC" w:rsidRPr="00950950" w:rsidRDefault="003B3BEC" w:rsidP="00F05BFA">
            <w:pPr>
              <w:pStyle w:val="TableParagraph"/>
              <w:spacing w:before="98"/>
              <w:ind w:left="62"/>
              <w:jc w:val="center"/>
            </w:pPr>
            <w:r>
              <w:t>4</w:t>
            </w:r>
          </w:p>
        </w:tc>
      </w:tr>
      <w:tr w:rsidR="003B3BEC" w:rsidRPr="00950950" w:rsidTr="00F05BFA">
        <w:trPr>
          <w:trHeight w:val="275"/>
        </w:trPr>
        <w:tc>
          <w:tcPr>
            <w:tcW w:w="2564" w:type="pct"/>
          </w:tcPr>
          <w:p w:rsidR="003B3BEC" w:rsidRPr="00950950" w:rsidRDefault="003B3BEC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3B3BEC" w:rsidRPr="00950950" w:rsidRDefault="003B3BEC" w:rsidP="00F05BFA">
            <w:pPr>
              <w:pStyle w:val="TableParagraph"/>
              <w:spacing w:before="97"/>
              <w:ind w:left="62"/>
              <w:jc w:val="center"/>
            </w:pPr>
            <w:r>
              <w:t>64</w:t>
            </w:r>
          </w:p>
        </w:tc>
      </w:tr>
      <w:tr w:rsidR="003B3BEC" w:rsidRPr="00950950" w:rsidTr="00F05BFA">
        <w:trPr>
          <w:trHeight w:val="275"/>
        </w:trPr>
        <w:tc>
          <w:tcPr>
            <w:tcW w:w="2564" w:type="pct"/>
          </w:tcPr>
          <w:p w:rsidR="003B3BEC" w:rsidRPr="00950950" w:rsidRDefault="003B3BEC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3B3BEC" w:rsidRDefault="003B3BEC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3B3BEC" w:rsidRPr="00950950" w:rsidTr="00F05BFA">
        <w:trPr>
          <w:trHeight w:val="551"/>
        </w:trPr>
        <w:tc>
          <w:tcPr>
            <w:tcW w:w="2564" w:type="pct"/>
          </w:tcPr>
          <w:p w:rsidR="003B3BEC" w:rsidRPr="00950950" w:rsidRDefault="003B3BEC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3B3BEC" w:rsidRPr="00950950" w:rsidRDefault="003B3BEC" w:rsidP="003B3BEC">
            <w:pPr>
              <w:pStyle w:val="TableParagraph"/>
              <w:ind w:left="62"/>
              <w:jc w:val="center"/>
            </w:pPr>
            <w:r>
              <w:t xml:space="preserve">Зачет с оценкой - </w:t>
            </w:r>
            <w:r>
              <w:t>5</w:t>
            </w:r>
            <w:r>
              <w:t xml:space="preserve"> курс</w:t>
            </w:r>
          </w:p>
        </w:tc>
      </w:tr>
      <w:tr w:rsidR="003B3BEC" w:rsidRPr="00950950" w:rsidTr="00F05BFA">
        <w:trPr>
          <w:trHeight w:val="275"/>
        </w:trPr>
        <w:tc>
          <w:tcPr>
            <w:tcW w:w="2564" w:type="pct"/>
          </w:tcPr>
          <w:p w:rsidR="003B3BEC" w:rsidRPr="00950950" w:rsidRDefault="003B3BEC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3B3BEC" w:rsidRPr="00950950" w:rsidRDefault="003B3BEC" w:rsidP="00F05BFA">
            <w:pPr>
              <w:pStyle w:val="TableParagraph"/>
              <w:spacing w:before="97"/>
              <w:ind w:left="62"/>
              <w:jc w:val="center"/>
            </w:pPr>
            <w:r>
              <w:t>72/2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3B3BEC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991B63" w:rsidRPr="00CB3838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991B63" w:rsidRPr="00CB3838" w:rsidRDefault="00991B63" w:rsidP="00D71D19">
            <w:pPr>
              <w:contextualSpacing/>
              <w:jc w:val="center"/>
            </w:pPr>
            <w:r w:rsidRPr="00CB3838">
              <w:t>Код и наименование компетенции</w:t>
            </w:r>
          </w:p>
          <w:p w:rsidR="00991B63" w:rsidRPr="00CB3838" w:rsidRDefault="00991B63" w:rsidP="00D71D19">
            <w:pPr>
              <w:ind w:left="-108" w:right="-108"/>
              <w:contextualSpacing/>
              <w:jc w:val="center"/>
            </w:pPr>
            <w:r w:rsidRPr="00CB3838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991B63" w:rsidRPr="00CB3838" w:rsidRDefault="00991B63" w:rsidP="00D71D19">
            <w:pPr>
              <w:ind w:left="-108" w:right="-108"/>
              <w:contextualSpacing/>
              <w:jc w:val="center"/>
            </w:pPr>
            <w:r w:rsidRPr="00CB3838">
              <w:t>Код и наименование индикатора достижения компетенции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>УК-2  Способен  определять  круг  з</w:t>
            </w:r>
            <w:r w:rsidRPr="00CB3838">
              <w:t>а</w:t>
            </w:r>
            <w:r w:rsidRPr="00CB3838">
              <w:t>дач  в рамках  поставленной  цели  в  религиозной сфере  и  выбирать  опт</w:t>
            </w:r>
            <w:r w:rsidRPr="00CB3838">
              <w:t>и</w:t>
            </w:r>
            <w:r w:rsidRPr="00CB3838">
              <w:t>мальные  способы их  решения  с  уч</w:t>
            </w:r>
            <w:r w:rsidRPr="00CB3838">
              <w:t>е</w:t>
            </w:r>
            <w:r w:rsidRPr="00CB3838">
              <w:t>том  мировоззренческих, ценностных,  нравственных  и  правовых ориентиров,  имеющихся  ресурсов  и ограничений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>УК-2.2</w:t>
            </w:r>
            <w:proofErr w:type="gramStart"/>
            <w:r w:rsidRPr="00CB3838">
              <w:t xml:space="preserve">  У</w:t>
            </w:r>
            <w:proofErr w:type="gramEnd"/>
            <w:r w:rsidRPr="00CB3838">
              <w:t>меет ставить задачи в религиозной сфере и планир</w:t>
            </w:r>
            <w:r w:rsidRPr="00CB3838">
              <w:t>о</w:t>
            </w:r>
            <w:r w:rsidRPr="00CB3838">
              <w:t xml:space="preserve">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 w:rsidRPr="00CB3838">
              <w:t>канонико-правовых</w:t>
            </w:r>
            <w:proofErr w:type="spellEnd"/>
            <w:r w:rsidRPr="00CB3838">
              <w:t xml:space="preserve"> ориентиров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 xml:space="preserve">УК-11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формировать нете</w:t>
            </w:r>
            <w:r w:rsidRPr="00CB3838">
              <w:t>р</w:t>
            </w:r>
            <w:r w:rsidRPr="00CB3838">
              <w:t>пимое отношение к коррупционному поведению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 xml:space="preserve">УК-11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формировать нетерпимое отношение к ко</w:t>
            </w:r>
            <w:r w:rsidRPr="00CB3838">
              <w:t>р</w:t>
            </w:r>
            <w:r w:rsidRPr="00CB3838">
              <w:t>рупционному поведению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 xml:space="preserve">УК-10 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</w:t>
            </w:r>
            <w:r w:rsidRPr="00CB3838">
              <w:t>о</w:t>
            </w:r>
            <w:r w:rsidRPr="00CB3838">
              <w:t>ванные экономические решения в ра</w:t>
            </w:r>
            <w:r w:rsidRPr="00CB3838">
              <w:t>з</w:t>
            </w:r>
            <w:r w:rsidRPr="00CB3838">
              <w:t>личных областях жизнедеятельности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 xml:space="preserve">УК-10 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обоснованные экономические р</w:t>
            </w:r>
            <w:r w:rsidRPr="00CB3838">
              <w:t>е</w:t>
            </w:r>
            <w:r w:rsidRPr="00CB3838">
              <w:t>шения в различных областях жизнедеятельности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 xml:space="preserve">ОПК-4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 применять  базовые знания  практико-ориентированных теологических дисциплин  при реш</w:t>
            </w:r>
            <w:r w:rsidRPr="00CB3838">
              <w:t>е</w:t>
            </w:r>
            <w:r w:rsidRPr="00CB3838">
              <w:t>нии теологических задач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>ОПК-4.3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 xml:space="preserve">ПК-1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использовать теолог</w:t>
            </w:r>
            <w:r w:rsidRPr="00CB3838">
              <w:t>и</w:t>
            </w:r>
            <w:r w:rsidRPr="00CB3838">
              <w:t>ческие знания в решении задач церко</w:t>
            </w:r>
            <w:r w:rsidRPr="00CB3838">
              <w:t>в</w:t>
            </w:r>
            <w:r w:rsidRPr="00CB3838">
              <w:t>но-практической деятельности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>ПК-1.5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</w:tr>
      <w:tr w:rsidR="00991B63" w:rsidRPr="00CB3838" w:rsidTr="00D71D19">
        <w:trPr>
          <w:jc w:val="center"/>
        </w:trPr>
        <w:tc>
          <w:tcPr>
            <w:tcW w:w="1908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  <w:jc w:val="center"/>
            </w:pPr>
            <w:r w:rsidRPr="00CB3838">
              <w:t xml:space="preserve">ПК-2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решать  задачи церко</w:t>
            </w:r>
            <w:r w:rsidRPr="00CB3838">
              <w:t>в</w:t>
            </w:r>
            <w:r w:rsidRPr="00CB3838">
              <w:t>но-практической деятельности в  сфере деятельности  религиозных организ</w:t>
            </w:r>
            <w:r w:rsidRPr="00CB3838">
              <w:t>а</w:t>
            </w:r>
            <w:r w:rsidRPr="00CB3838">
              <w:t>ций</w:t>
            </w:r>
          </w:p>
        </w:tc>
        <w:tc>
          <w:tcPr>
            <w:tcW w:w="3092" w:type="pct"/>
            <w:vAlign w:val="center"/>
          </w:tcPr>
          <w:p w:rsidR="00991B63" w:rsidRPr="00CB3838" w:rsidRDefault="00991B63" w:rsidP="00D71D19">
            <w:r w:rsidRPr="00CB3838">
              <w:t>ПК-2.4</w:t>
            </w:r>
            <w:proofErr w:type="gramStart"/>
            <w:r w:rsidRPr="00CB3838">
              <w:t xml:space="preserve"> У</w:t>
            </w:r>
            <w:proofErr w:type="gramEnd"/>
            <w:r w:rsidRPr="00CB3838">
              <w:t>меет организовывать просветительскую и социальную деятельность приходской общины</w:t>
            </w:r>
          </w:p>
        </w:tc>
      </w:tr>
    </w:tbl>
    <w:p w:rsidR="006C6A4D" w:rsidRDefault="006C6A4D">
      <w:pPr>
        <w:pStyle w:val="a4"/>
        <w:spacing w:after="8"/>
        <w:ind w:left="222" w:right="23"/>
      </w:pPr>
    </w:p>
    <w:p w:rsidR="00991B63" w:rsidRDefault="00991B63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991B63" w:rsidRPr="00CB3838" w:rsidTr="00D71D19">
        <w:trPr>
          <w:tblHeader/>
        </w:trPr>
        <w:tc>
          <w:tcPr>
            <w:tcW w:w="1883" w:type="pct"/>
            <w:vAlign w:val="center"/>
            <w:hideMark/>
          </w:tcPr>
          <w:p w:rsidR="00991B63" w:rsidRPr="00CB3838" w:rsidRDefault="00991B63" w:rsidP="00D71D19">
            <w:pPr>
              <w:ind w:left="-108" w:right="-108"/>
              <w:contextualSpacing/>
              <w:jc w:val="center"/>
            </w:pPr>
            <w:r w:rsidRPr="00CB3838">
              <w:t>Код и наименование индикатора дост</w:t>
            </w:r>
            <w:r w:rsidRPr="00CB3838">
              <w:t>и</w:t>
            </w:r>
            <w:r w:rsidRPr="00CB3838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jc w:val="center"/>
            </w:pPr>
            <w:r w:rsidRPr="00CB3838">
              <w:t xml:space="preserve">Результат </w:t>
            </w:r>
            <w:proofErr w:type="gramStart"/>
            <w:r w:rsidRPr="00CB3838">
              <w:t>обучения по дисциплине</w:t>
            </w:r>
            <w:proofErr w:type="gramEnd"/>
          </w:p>
        </w:tc>
      </w:tr>
      <w:tr w:rsidR="00991B63" w:rsidRPr="00CB3838" w:rsidTr="00D71D19">
        <w:trPr>
          <w:trHeight w:val="757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t>УК-2.2</w:t>
            </w:r>
            <w:proofErr w:type="gramStart"/>
            <w:r w:rsidRPr="00CB3838">
              <w:t xml:space="preserve">  У</w:t>
            </w:r>
            <w:proofErr w:type="gramEnd"/>
            <w:r w:rsidRPr="00CB3838">
              <w:t>меет ставить задачи в рел</w:t>
            </w:r>
            <w:r w:rsidRPr="00CB3838">
              <w:t>и</w:t>
            </w:r>
            <w:r w:rsidRPr="00CB3838">
              <w:t>гиозной сфере и планировать собс</w:t>
            </w:r>
            <w:r w:rsidRPr="00CB3838">
              <w:t>т</w:t>
            </w:r>
            <w:r w:rsidRPr="00CB3838">
              <w:t>венную деятельность для их достиж</w:t>
            </w:r>
            <w:r w:rsidRPr="00CB3838">
              <w:t>е</w:t>
            </w:r>
            <w:r w:rsidRPr="00CB3838">
              <w:t xml:space="preserve">ния с учетом библейско-богословских, нравственно-аскетических, </w:t>
            </w:r>
            <w:proofErr w:type="spellStart"/>
            <w:r w:rsidRPr="00CB3838">
              <w:t>канонико-правовых</w:t>
            </w:r>
            <w:proofErr w:type="spellEnd"/>
            <w:r w:rsidRPr="00CB3838">
              <w:t xml:space="preserve"> ориентиров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все основные положения вероучения Церкви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нормативные документы, регламентирующие деятельность Русской Православной Церкви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основы самоорганизации, планирование рабочего дня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rPr>
                <w:i/>
              </w:rPr>
              <w:t xml:space="preserve">- </w:t>
            </w:r>
            <w:r w:rsidRPr="00CB3838">
              <w:t xml:space="preserve">соотнесения нормативно-правовой и </w:t>
            </w:r>
            <w:proofErr w:type="spellStart"/>
            <w:r w:rsidRPr="00CB3838">
              <w:t>вероучительной</w:t>
            </w:r>
            <w:proofErr w:type="spellEnd"/>
            <w:r w:rsidRPr="00CB3838">
              <w:t xml:space="preserve"> термин</w:t>
            </w:r>
            <w:r w:rsidRPr="00CB3838">
              <w:t>о</w:t>
            </w:r>
            <w:r w:rsidRPr="00CB3838">
              <w:t>логии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определения цели и задачи в религиозной сфере деятельности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правильного планирования своей деятельности и деятельности подчиненных на приходе</w:t>
            </w:r>
          </w:p>
        </w:tc>
      </w:tr>
      <w:tr w:rsidR="00991B63" w:rsidRPr="00CB3838" w:rsidTr="00D71D19">
        <w:trPr>
          <w:trHeight w:val="888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t xml:space="preserve">УК-11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формировать нете</w:t>
            </w:r>
            <w:r w:rsidRPr="00CB3838">
              <w:t>р</w:t>
            </w:r>
            <w:r w:rsidRPr="00CB3838">
              <w:t>пимое отношение к коррупционному поведению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 xml:space="preserve">- все основные права и обязанности Прихода как </w:t>
            </w:r>
            <w:proofErr w:type="spellStart"/>
            <w:r w:rsidRPr="00CB3838">
              <w:t>субьекта</w:t>
            </w:r>
            <w:proofErr w:type="spellEnd"/>
            <w:r w:rsidRPr="00CB3838">
              <w:t xml:space="preserve"> права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иерархию нормативных документов регламентирующих де</w:t>
            </w:r>
            <w:r w:rsidRPr="00CB3838">
              <w:t>я</w:t>
            </w:r>
            <w:r w:rsidRPr="00CB3838">
              <w:t>тельность прихода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 xml:space="preserve">- нормы, регламентирующие ответственность </w:t>
            </w:r>
            <w:proofErr w:type="gramStart"/>
            <w:r w:rsidRPr="00CB3838">
              <w:t>за</w:t>
            </w:r>
            <w:proofErr w:type="gramEnd"/>
            <w:r w:rsidRPr="00CB3838">
              <w:t xml:space="preserve"> правонаруш</w:t>
            </w:r>
            <w:r w:rsidRPr="00CB3838">
              <w:t>е</w:t>
            </w:r>
            <w:r w:rsidRPr="00CB3838">
              <w:t xml:space="preserve">нии в отношении религиозных организаций 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объяснить правила ведения экономической деятельности пр</w:t>
            </w:r>
            <w:r w:rsidRPr="00CB3838">
              <w:t>и</w:t>
            </w:r>
            <w:r w:rsidRPr="00CB3838">
              <w:t>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обоснованного и эффективного ведения экономической де</w:t>
            </w:r>
            <w:r w:rsidRPr="00CB3838">
              <w:t>я</w:t>
            </w:r>
            <w:r w:rsidRPr="00CB3838">
              <w:t>тельности прихода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правильного ведения бухгалтерской отчетности</w:t>
            </w:r>
          </w:p>
        </w:tc>
      </w:tr>
      <w:tr w:rsidR="00991B63" w:rsidRPr="00CB3838" w:rsidTr="00D71D19">
        <w:trPr>
          <w:trHeight w:val="888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t xml:space="preserve">УК-10 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</w:t>
            </w:r>
            <w:r w:rsidRPr="00CB3838">
              <w:t>о</w:t>
            </w:r>
            <w:r w:rsidRPr="00CB3838">
              <w:t>ванные экономические решения в ра</w:t>
            </w:r>
            <w:r w:rsidRPr="00CB3838">
              <w:t>з</w:t>
            </w:r>
            <w:r w:rsidRPr="00CB3838">
              <w:t>личных областях жизнедеятельности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 xml:space="preserve">все основные права и обязанности Прихода как </w:t>
            </w:r>
            <w:proofErr w:type="spellStart"/>
            <w:r w:rsidRPr="00CB3838">
              <w:t>субьекта</w:t>
            </w:r>
            <w:proofErr w:type="spellEnd"/>
            <w:r w:rsidRPr="00CB3838">
              <w:t xml:space="preserve"> права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иерархию нормативных документов регламентирующих де</w:t>
            </w:r>
            <w:r w:rsidRPr="00CB3838">
              <w:t>я</w:t>
            </w:r>
            <w:r w:rsidRPr="00CB3838">
              <w:t>тельность прихода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нормы, регламентирующие ответственность за правонаруш</w:t>
            </w:r>
            <w:r w:rsidRPr="00CB3838">
              <w:t>е</w:t>
            </w:r>
            <w:r w:rsidRPr="00CB3838">
              <w:t xml:space="preserve">ния в отношении религиозных организаций 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ведения экономической и договорной деятельности прихода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обоснованного и эффективного ведения экономической де</w:t>
            </w:r>
            <w:r w:rsidRPr="00CB3838">
              <w:t>я</w:t>
            </w:r>
            <w:r w:rsidRPr="00CB3838">
              <w:t>тельности прихода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правильного ведения бухгалтерской отчетности</w:t>
            </w:r>
          </w:p>
        </w:tc>
      </w:tr>
      <w:tr w:rsidR="00991B63" w:rsidRPr="00CB3838" w:rsidTr="00D71D19">
        <w:trPr>
          <w:trHeight w:val="888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t>ОПК-4.3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все основные положения вероучения Церкви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t>- нормативные документы, регламентирующие жизнь Церкви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</w:pPr>
            <w:r w:rsidRPr="00CB3838">
              <w:rPr>
                <w:i/>
              </w:rPr>
              <w:t xml:space="preserve">- </w:t>
            </w:r>
            <w:r w:rsidRPr="00CB3838">
              <w:t xml:space="preserve">оперировать церковно-правовой и </w:t>
            </w:r>
            <w:proofErr w:type="spellStart"/>
            <w:r w:rsidRPr="00CB3838">
              <w:t>вероучительной</w:t>
            </w:r>
            <w:proofErr w:type="spellEnd"/>
            <w:r w:rsidRPr="00CB3838">
              <w:t xml:space="preserve"> терминол</w:t>
            </w:r>
            <w:r w:rsidRPr="00CB3838">
              <w:t>о</w:t>
            </w:r>
            <w:r w:rsidRPr="00CB3838">
              <w:t>гией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определения цели и задачи в религиозной сфере деятельности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определить методы для достижения конкретных задач в па</w:t>
            </w:r>
            <w:r w:rsidRPr="00CB3838">
              <w:t>с</w:t>
            </w:r>
            <w:r w:rsidRPr="00CB3838">
              <w:t>тырско-приходской деятельности</w:t>
            </w:r>
          </w:p>
        </w:tc>
      </w:tr>
      <w:tr w:rsidR="00991B63" w:rsidRPr="00CB3838" w:rsidTr="00D71D19">
        <w:trPr>
          <w:trHeight w:val="888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t>ПК-1.5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формирования церковного богослужения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сложения нравственно-аскетического учения;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церковно-правовой системы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</w:pPr>
            <w:r w:rsidRPr="00CB3838">
              <w:rPr>
                <w:i/>
              </w:rPr>
              <w:t xml:space="preserve">- </w:t>
            </w:r>
            <w:r w:rsidRPr="00CB3838">
              <w:t xml:space="preserve">работы с богослужебной и </w:t>
            </w:r>
            <w:proofErr w:type="spellStart"/>
            <w:r w:rsidRPr="00CB3838">
              <w:t>святоотеческой</w:t>
            </w:r>
            <w:proofErr w:type="spellEnd"/>
            <w:r w:rsidRPr="00CB3838">
              <w:t xml:space="preserve"> литературой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i/>
              </w:rPr>
            </w:pPr>
            <w:r w:rsidRPr="00CB3838">
              <w:t>- объяснить основные каноны и правила Православной Церкви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использовать полученные знания в пастырско-приходской де</w:t>
            </w:r>
            <w:r w:rsidRPr="00CB3838">
              <w:t>я</w:t>
            </w:r>
            <w:r w:rsidRPr="00CB3838">
              <w:t>тельности</w:t>
            </w:r>
          </w:p>
        </w:tc>
      </w:tr>
      <w:tr w:rsidR="00991B63" w:rsidRPr="00CB3838" w:rsidTr="00D71D19">
        <w:trPr>
          <w:trHeight w:val="888"/>
        </w:trPr>
        <w:tc>
          <w:tcPr>
            <w:tcW w:w="1883" w:type="pct"/>
            <w:vAlign w:val="center"/>
          </w:tcPr>
          <w:p w:rsidR="00991B63" w:rsidRPr="00CB3838" w:rsidRDefault="00991B63" w:rsidP="00D71D19">
            <w:pPr>
              <w:ind w:right="-108"/>
              <w:contextualSpacing/>
            </w:pPr>
            <w:r w:rsidRPr="00CB3838">
              <w:lastRenderedPageBreak/>
              <w:t>ПК-2.4</w:t>
            </w:r>
            <w:proofErr w:type="gramStart"/>
            <w:r w:rsidRPr="00CB3838">
              <w:t xml:space="preserve"> У</w:t>
            </w:r>
            <w:proofErr w:type="gramEnd"/>
            <w:r w:rsidRPr="00CB3838">
              <w:t>меет организовывать просв</w:t>
            </w:r>
            <w:r w:rsidRPr="00CB3838">
              <w:t>е</w:t>
            </w:r>
            <w:r w:rsidRPr="00CB3838">
              <w:t>тительскую и социальную деятел</w:t>
            </w:r>
            <w:r w:rsidRPr="00CB3838">
              <w:t>ь</w:t>
            </w:r>
            <w:r w:rsidRPr="00CB3838">
              <w:t>ность приходской общины</w:t>
            </w:r>
          </w:p>
        </w:tc>
        <w:tc>
          <w:tcPr>
            <w:tcW w:w="3117" w:type="pct"/>
            <w:vAlign w:val="center"/>
            <w:hideMark/>
          </w:tcPr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нормативно-правовую базу по организации просветительской и социальной деятельности приходской общины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компетенцию органов управления приходом по организации просветительской и социальной деятельности приходской общины;</w:t>
            </w:r>
          </w:p>
          <w:p w:rsidR="00991B63" w:rsidRPr="00CB3838" w:rsidRDefault="00991B63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основные права и обязанности прихода по организации просв</w:t>
            </w:r>
            <w:r w:rsidRPr="00CB3838">
              <w:rPr>
                <w:rFonts w:eastAsia="Arial Unicode MS"/>
                <w:color w:val="000000"/>
                <w:lang w:bidi="ru-RU"/>
              </w:rPr>
              <w:t>е</w:t>
            </w:r>
            <w:r w:rsidRPr="00CB3838">
              <w:rPr>
                <w:rFonts w:eastAsia="Arial Unicode MS"/>
                <w:color w:val="000000"/>
                <w:lang w:bidi="ru-RU"/>
              </w:rPr>
              <w:t>тительской и социальной деятельности приходской общины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991B63" w:rsidRPr="00CB3838" w:rsidRDefault="00991B63" w:rsidP="00D71D19">
            <w:pPr>
              <w:adjustRightInd w:val="0"/>
              <w:contextualSpacing/>
            </w:pPr>
            <w:r w:rsidRPr="00CB3838">
              <w:rPr>
                <w:i/>
              </w:rPr>
              <w:t xml:space="preserve">- </w:t>
            </w:r>
            <w:r w:rsidRPr="00CB3838">
              <w:t xml:space="preserve">применения нормативных документов для организации </w:t>
            </w:r>
            <w:r w:rsidRPr="00CB3838">
              <w:rPr>
                <w:rFonts w:eastAsia="Arial Unicode MS"/>
                <w:color w:val="000000"/>
                <w:lang w:bidi="ru-RU"/>
              </w:rPr>
              <w:t>пр</w:t>
            </w:r>
            <w:r w:rsidRPr="00CB3838">
              <w:rPr>
                <w:rFonts w:eastAsia="Arial Unicode MS"/>
                <w:color w:val="000000"/>
                <w:lang w:bidi="ru-RU"/>
              </w:rPr>
              <w:t>о</w:t>
            </w:r>
            <w:r w:rsidRPr="00CB3838">
              <w:rPr>
                <w:rFonts w:eastAsia="Arial Unicode MS"/>
                <w:color w:val="000000"/>
                <w:lang w:bidi="ru-RU"/>
              </w:rPr>
              <w:t>светительской и социальной деятельности приходской общины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i/>
              </w:rPr>
            </w:pPr>
            <w:r w:rsidRPr="00CB3838">
              <w:t xml:space="preserve">- участия прихода в </w:t>
            </w:r>
            <w:proofErr w:type="spellStart"/>
            <w:r w:rsidRPr="00CB3838">
              <w:t>грантовой</w:t>
            </w:r>
            <w:proofErr w:type="spellEnd"/>
            <w:r w:rsidRPr="00CB3838">
              <w:t xml:space="preserve"> деятельности 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991B63" w:rsidRPr="00CB3838" w:rsidRDefault="00991B63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t>- использовать полученные знания в пастырско-приходской де</w:t>
            </w:r>
            <w:r w:rsidRPr="00CB3838">
              <w:t>я</w:t>
            </w:r>
            <w:r w:rsidRPr="00CB3838">
              <w:t>тельности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1.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Правовой статус Русской Православной Церкви: ист</w:t>
            </w:r>
            <w:r w:rsidRPr="00CB3838">
              <w:t>о</w:t>
            </w:r>
            <w:r w:rsidRPr="00CB3838">
              <w:t>рический обзор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1. Правовое положение Русской Православной Церкви до революции 1917 г.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2. Правовое положение Русской Православной Церкви в советский период</w:t>
            </w: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2.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Устав Русской Правосла</w:t>
            </w:r>
            <w:r w:rsidRPr="00CB3838">
              <w:t>в</w:t>
            </w:r>
            <w:r w:rsidRPr="00CB3838">
              <w:t>ной Церкви 2000 года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 xml:space="preserve">Тема 1. Структура и основные положения Устава </w:t>
            </w: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3.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991B63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Православный приход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 xml:space="preserve">Тема 1. Понятие и основные признаки православного прихода. 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 xml:space="preserve">Тема 2. Устав православного прихода. </w:t>
            </w: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4.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Религиозная организация как субъект права. Имущ</w:t>
            </w:r>
            <w:r w:rsidRPr="00CB3838">
              <w:t>е</w:t>
            </w:r>
            <w:r w:rsidRPr="00CB3838">
              <w:t>ственное положение религ</w:t>
            </w:r>
            <w:r w:rsidRPr="00CB3838">
              <w:t>и</w:t>
            </w:r>
            <w:r w:rsidRPr="00CB3838">
              <w:t>озных организаций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1. Особенности имущественных прав религиозных орг</w:t>
            </w:r>
            <w:r w:rsidRPr="00CB3838">
              <w:t>а</w:t>
            </w:r>
            <w:r w:rsidRPr="00CB3838">
              <w:t>низаций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2. Имущественные права на земельные участки религио</w:t>
            </w:r>
            <w:r w:rsidRPr="00CB3838">
              <w:t>з</w:t>
            </w:r>
            <w:r w:rsidRPr="00CB3838">
              <w:t>ных организаций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5.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Организация бухгалтерского учета и кадровая политика канонических подраздел</w:t>
            </w:r>
            <w:r w:rsidRPr="00CB3838">
              <w:t>е</w:t>
            </w:r>
            <w:r w:rsidRPr="00CB3838">
              <w:t>ний РПЦ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1. Доходы и налогообложение религиозных организаций.</w:t>
            </w:r>
          </w:p>
        </w:tc>
      </w:tr>
      <w:tr w:rsidR="00991B63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6.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Особенности реставрацио</w:t>
            </w:r>
            <w:r w:rsidRPr="00CB3838">
              <w:t>н</w:t>
            </w:r>
            <w:r w:rsidRPr="00CB3838">
              <w:t>но-строительной деятельн</w:t>
            </w:r>
            <w:r w:rsidRPr="00CB3838">
              <w:t>о</w:t>
            </w:r>
            <w:r w:rsidRPr="00CB3838">
              <w:t>сти канонических подразд</w:t>
            </w:r>
            <w:r w:rsidRPr="00CB3838">
              <w:t>е</w:t>
            </w:r>
            <w:r w:rsidRPr="00CB3838">
              <w:t>лений РПЦ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 xml:space="preserve">Тема 1. Особенности правового положения храмов-памятников культуры федерального и регионального значения; 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  <w:r w:rsidRPr="00CB3838">
              <w:t>Тема 2. Порядок организации и этапы реставрационного пр</w:t>
            </w:r>
            <w:r w:rsidRPr="00CB3838">
              <w:t>о</w:t>
            </w:r>
            <w:r w:rsidRPr="00CB3838">
              <w:t xml:space="preserve">цесса. </w:t>
            </w:r>
          </w:p>
          <w:p w:rsidR="00991B63" w:rsidRPr="00CB3838" w:rsidRDefault="00991B63" w:rsidP="00991B63">
            <w:pPr>
              <w:widowControl/>
              <w:adjustRightInd w:val="0"/>
              <w:contextualSpacing/>
              <w:jc w:val="center"/>
            </w:pPr>
          </w:p>
        </w:tc>
      </w:tr>
    </w:tbl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38D4"/>
    <w:rsid w:val="003B3BEC"/>
    <w:rsid w:val="003B7250"/>
    <w:rsid w:val="00415199"/>
    <w:rsid w:val="00440C2B"/>
    <w:rsid w:val="004E16E9"/>
    <w:rsid w:val="004E6E76"/>
    <w:rsid w:val="005767CE"/>
    <w:rsid w:val="0059081A"/>
    <w:rsid w:val="005B4008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2021-11-15T00:56:00Z</cp:lastPrinted>
  <dcterms:created xsi:type="dcterms:W3CDTF">2024-01-21T17:20:00Z</dcterms:created>
  <dcterms:modified xsi:type="dcterms:W3CDTF">2024-01-21T17:20:00Z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